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B2" w:rsidRPr="00CA31E4" w:rsidRDefault="008D0DB2" w:rsidP="00CA3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основной образовательной программы дошкольного образования по образовательным областям первой младшей группы МАДОУ д/с №123 (2-3 года).</w:t>
      </w:r>
    </w:p>
    <w:p w:rsidR="008D0DB2" w:rsidRPr="00924277" w:rsidRDefault="008D0DB2" w:rsidP="00CA31E4">
      <w:pPr>
        <w:pStyle w:val="1"/>
        <w:shd w:val="clear" w:color="auto" w:fill="auto"/>
        <w:jc w:val="both"/>
        <w:rPr>
          <w:sz w:val="28"/>
          <w:szCs w:val="28"/>
        </w:rPr>
      </w:pPr>
      <w:r w:rsidRPr="00924277">
        <w:rPr>
          <w:sz w:val="28"/>
          <w:szCs w:val="28"/>
        </w:rPr>
        <w:t>Рабочая программа по развитию детей 1-ой младшей группы (Далее - Программа) разработана на основе образовательной программы МАДОУ д/с № 123 города Калининграда, с учетом примерной общеобразовательной программы «Детство» под редакцией Т. И. Бабаевой и др., и в соответствии с федеральным государственным образовательным стандартом дошкольного образования.</w:t>
      </w:r>
      <w:r w:rsidR="00CA31E4">
        <w:rPr>
          <w:sz w:val="28"/>
          <w:szCs w:val="28"/>
        </w:rPr>
        <w:t xml:space="preserve"> </w:t>
      </w:r>
      <w:r w:rsidRPr="00924277">
        <w:rPr>
          <w:sz w:val="28"/>
          <w:szCs w:val="28"/>
        </w:rPr>
        <w:t>Программа определяет основные характеристики и условия организации образовательного процесса с детьми 2-3 лет, направлена на разностороннее развитие детей в первой младшей группе муниципального автономного дошкольного образовательного учреждения детского сада № 123 города Калининграда.</w:t>
      </w:r>
      <w:r w:rsidR="00CA31E4">
        <w:rPr>
          <w:sz w:val="28"/>
          <w:szCs w:val="28"/>
        </w:rPr>
        <w:t xml:space="preserve"> </w:t>
      </w:r>
      <w:r w:rsidRPr="00924277">
        <w:rPr>
          <w:sz w:val="28"/>
          <w:szCs w:val="28"/>
        </w:rPr>
        <w:t>Содержание программы приведено в соответствие со следующими нормативными документами:</w:t>
      </w:r>
      <w:r w:rsidR="00CA31E4">
        <w:rPr>
          <w:sz w:val="28"/>
          <w:szCs w:val="28"/>
        </w:rPr>
        <w:t xml:space="preserve"> </w:t>
      </w:r>
      <w:r w:rsidRPr="00924277">
        <w:rPr>
          <w:sz w:val="28"/>
          <w:szCs w:val="28"/>
        </w:rPr>
        <w:t>Федеральный закон «Об образовании в Российской федерации» от 29.12. 2012 года</w:t>
      </w:r>
      <w:r>
        <w:rPr>
          <w:sz w:val="28"/>
          <w:szCs w:val="28"/>
        </w:rPr>
        <w:t xml:space="preserve"> </w:t>
      </w:r>
      <w:r w:rsidRPr="00924277">
        <w:rPr>
          <w:sz w:val="28"/>
          <w:szCs w:val="28"/>
        </w:rPr>
        <w:t xml:space="preserve">№ 273 </w:t>
      </w:r>
      <w:r w:rsidR="00CA31E4">
        <w:rPr>
          <w:sz w:val="28"/>
          <w:szCs w:val="28"/>
        </w:rPr>
        <w:t>–</w:t>
      </w:r>
      <w:r w:rsidRPr="00924277">
        <w:rPr>
          <w:sz w:val="28"/>
          <w:szCs w:val="28"/>
        </w:rPr>
        <w:t xml:space="preserve"> ФЗ</w:t>
      </w:r>
      <w:r w:rsidR="00CA31E4">
        <w:rPr>
          <w:sz w:val="28"/>
          <w:szCs w:val="28"/>
        </w:rPr>
        <w:t xml:space="preserve">. </w:t>
      </w:r>
      <w:r w:rsidRPr="00924277">
        <w:rPr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</w:t>
      </w:r>
      <w:r w:rsidR="00CA31E4">
        <w:rPr>
          <w:sz w:val="28"/>
          <w:szCs w:val="28"/>
        </w:rPr>
        <w:t xml:space="preserve">. </w:t>
      </w:r>
      <w:r w:rsidRPr="00924277">
        <w:rPr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CA31E4">
        <w:rPr>
          <w:sz w:val="28"/>
          <w:szCs w:val="28"/>
        </w:rPr>
        <w:t xml:space="preserve"> </w:t>
      </w:r>
      <w:proofErr w:type="spellStart"/>
      <w:r w:rsidRPr="00924277">
        <w:rPr>
          <w:sz w:val="28"/>
          <w:szCs w:val="28"/>
        </w:rPr>
        <w:t>СанПин</w:t>
      </w:r>
      <w:proofErr w:type="spellEnd"/>
      <w:r w:rsidRPr="0092427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D0DB2" w:rsidRPr="00924277" w:rsidRDefault="008D0DB2" w:rsidP="00CA31E4">
      <w:pPr>
        <w:pStyle w:val="1"/>
        <w:shd w:val="clear" w:color="auto" w:fill="auto"/>
        <w:jc w:val="both"/>
        <w:rPr>
          <w:sz w:val="28"/>
          <w:szCs w:val="28"/>
        </w:rPr>
      </w:pPr>
      <w:r w:rsidRPr="00924277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и обеспечивает физическое, социально-личностное, познавательное, речевое и художественно-эстетическое развитие детей в возрасте от 2 до 3 лет с учетом их возрастных и индивидуальных особенностей.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 коммуникативное, познавательное, речевое, художественно-эстетическое, физическое. 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образовательной деятельности, но и в ходе режимных моментов - в совместной со взрослыми так и в самостоятельной деятельности дошкольников.</w:t>
      </w:r>
    </w:p>
    <w:p w:rsidR="008D0DB2" w:rsidRPr="00924277" w:rsidRDefault="008D0DB2" w:rsidP="00CA31E4">
      <w:pPr>
        <w:pStyle w:val="1"/>
        <w:shd w:val="clear" w:color="auto" w:fill="auto"/>
        <w:jc w:val="both"/>
        <w:rPr>
          <w:sz w:val="28"/>
          <w:szCs w:val="28"/>
        </w:rPr>
      </w:pPr>
      <w:r w:rsidRPr="00924277">
        <w:rPr>
          <w:b/>
          <w:bCs/>
          <w:sz w:val="28"/>
          <w:szCs w:val="28"/>
        </w:rPr>
        <w:t xml:space="preserve">Цель: </w:t>
      </w:r>
      <w:r w:rsidRPr="00924277">
        <w:rPr>
          <w:sz w:val="28"/>
          <w:szCs w:val="28"/>
        </w:rPr>
        <w:t xml:space="preserve"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</w:t>
      </w:r>
      <w:r w:rsidRPr="00924277">
        <w:rPr>
          <w:sz w:val="28"/>
          <w:szCs w:val="28"/>
        </w:rPr>
        <w:lastRenderedPageBreak/>
        <w:t>возраста и специфичных для детей дошкольного возраста видов деятельности.</w:t>
      </w:r>
    </w:p>
    <w:p w:rsidR="008D0DB2" w:rsidRPr="00924277" w:rsidRDefault="008D0DB2" w:rsidP="00CA31E4">
      <w:pPr>
        <w:pStyle w:val="1"/>
        <w:shd w:val="clear" w:color="auto" w:fill="auto"/>
        <w:spacing w:after="120"/>
        <w:jc w:val="both"/>
        <w:rPr>
          <w:sz w:val="28"/>
          <w:szCs w:val="28"/>
        </w:rPr>
      </w:pPr>
      <w:r w:rsidRPr="00924277">
        <w:rPr>
          <w:b/>
          <w:bCs/>
          <w:sz w:val="28"/>
          <w:szCs w:val="28"/>
        </w:rPr>
        <w:t>Задачи: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342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342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формировать общую культуру личности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ребёнка, формировать предпосылки учебной деятельности;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342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619"/>
          <w:tab w:val="left" w:pos="4613"/>
          <w:tab w:val="left" w:pos="5693"/>
        </w:tabs>
        <w:jc w:val="both"/>
        <w:rPr>
          <w:sz w:val="28"/>
          <w:szCs w:val="28"/>
        </w:rPr>
      </w:pPr>
      <w:r w:rsidRPr="00924277">
        <w:rPr>
          <w:sz w:val="28"/>
          <w:szCs w:val="28"/>
        </w:rPr>
        <w:t xml:space="preserve">формировать социокультурную среду, </w:t>
      </w:r>
      <w:r w:rsidRPr="00924277">
        <w:rPr>
          <w:sz w:val="28"/>
          <w:szCs w:val="28"/>
        </w:rPr>
        <w:tab/>
        <w:t>соответствующую возрастным, индивидуальным, психологическим и физиологическим особенностям детей;</w:t>
      </w:r>
    </w:p>
    <w:p w:rsidR="008D0DB2" w:rsidRPr="00924277" w:rsidRDefault="008D0DB2" w:rsidP="00CA31E4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after="320"/>
        <w:jc w:val="both"/>
        <w:rPr>
          <w:sz w:val="28"/>
          <w:szCs w:val="28"/>
        </w:rPr>
      </w:pPr>
      <w:r w:rsidRPr="00924277">
        <w:rPr>
          <w:sz w:val="28"/>
          <w:szCs w:val="28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CA31E4" w:rsidRDefault="008D0DB2" w:rsidP="00CA31E4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Образовательная область «Социально-коммуникативное развитие»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направления реализации образовательной области «Социально-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коммуникативное развитие»: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игровой деятельности детей с целью освоения различных социальных ролей; 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трудовое воспитание;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освоение безопасного поведения. </w:t>
      </w:r>
    </w:p>
    <w:p w:rsidR="008D0DB2" w:rsidRPr="008D0DB2" w:rsidRDefault="008D0DB2" w:rsidP="00CA31E4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данного раздела является:</w:t>
      </w:r>
    </w:p>
    <w:p w:rsidR="008D0DB2" w:rsidRPr="008D0DB2" w:rsidRDefault="008D0DB2" w:rsidP="00CA31E4">
      <w:pPr>
        <w:widowControl w:val="0"/>
        <w:tabs>
          <w:tab w:val="left" w:pos="796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благоприятной адаптации детей к детскому саду, поддерживать эмоционально - положительное состояние детей. Развивать игровой опыт каждого ребёнка, помогая детям отражать в игре представления об окружающей действительности. Поддерживать доброжелательные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Приобщение детей к здоровому образу жизни путем освоения культурно гигиенических навыков и ухода за своим телом, культура еды, бережного отношения к личным вещам, к предметам и игрушкам, поддержания порядка в окружающей обстановке. Формировать элементарные представления о людях (взрослые, дети): об их внешнем виде, действиях, одежде, о некоторых ярко выраженных эмоциональных состояниях (радость, веселье, слёзы), о семье и детском саде. Способствовать становлению первичных представлений ребёнка о себе, о своём возрасте, поле, о родителях и членах семьи. Развивать самостоятельность, уверенность, ориентацию на одобряемое взрослым поведение. Формировать основы безопасности в быту, социуме, природе.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Методы: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Наглядные- рассматривание сюжетных картинок. Словесные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вопросы к детям, указания, объяснения, повторение за воспитателем слов, обозначающих эмоциональное состояние. Игровые - создание игровых ситуаций.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результаты: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Ребёнок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 Эмоционально откликается на игру, предложенную взрослым, подражает игровым действиям, принимает игровую задачу. Дружелюбен, доброжелателен к сверстникам, с интересом участвует в общих играх и делах совместно с воспитателем и детьми. Строит сюжет из нескольких связанных по смыслу действии, принимает (иногда называет) свою игровую роль, выполняет игровые действия в соответствии с ролью. Охотно общается с воспитателем и с детьми, вступает в игровое взаимодействие. Малыш активен в выполнении действий самообслуживания, стремиться к оказанию помощи другим людям.</w:t>
      </w:r>
    </w:p>
    <w:p w:rsidR="008D0DB2" w:rsidRPr="008D0DB2" w:rsidRDefault="008D0DB2" w:rsidP="00CA31E4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«Основы безопасности»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интегрируется со всеми образовательными модулями. Задачи:</w:t>
      </w:r>
    </w:p>
    <w:p w:rsidR="008D0DB2" w:rsidRPr="008D0DB2" w:rsidRDefault="008D0DB2" w:rsidP="00CA31E4">
      <w:pPr>
        <w:widowControl w:val="0"/>
        <w:tabs>
          <w:tab w:val="left" w:pos="87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Научить ребенка ориентироваться в окружающей его обстановке и уметь оценивать отдельные элементы обстановки с точки зрения "Опасно - не опасно"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Сформировать важнейшие алгоритмы восприятия и действия, которые лежат в </w:t>
      </w:r>
      <w:proofErr w:type="spell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оснлове</w:t>
      </w:r>
      <w:proofErr w:type="spell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безопасного поведения.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(чтение и рассказывание художественных произведений, заучивание наизусть, рассказывание с опорой на наглядный материал)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Словесные приемы (речевой образец, повторное проговаривание, объяснение, указания, оценка).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(непосредственное наблюдение и его разновидности (наблюдение в природе, экскурсии), опосредованное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наблюдение (рассматривание картин, рассказывание по картинам). Наглядные приемы (показ иллюстрированного материала).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(дидактические игры, игры-драматизации, инсценировки, дидактические упражнения). Игровые приемы (игровое сюжетно-событийное развертывание, драматизация с акцентом на эмоциональное переживание, имитационно-моделирующие игры, дидактические игры). </w:t>
      </w:r>
    </w:p>
    <w:p w:rsidR="008D0DB2" w:rsidRPr="008D0DB2" w:rsidRDefault="008D0DB2" w:rsidP="00CA31E4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Формы реализации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интеграция в ОД по познавательному развитию, во все виды деятельности в режиме дня.</w:t>
      </w:r>
    </w:p>
    <w:p w:rsidR="008D0DB2" w:rsidRPr="008D0DB2" w:rsidRDefault="008D0DB2" w:rsidP="00CA31E4">
      <w:pPr>
        <w:widowControl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ОД по освоению безопасного поведения в первой младшей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890"/>
        <w:gridCol w:w="2222"/>
        <w:gridCol w:w="2232"/>
      </w:tblGrid>
      <w:tr w:rsidR="008D0DB2" w:rsidRPr="008D0DB2" w:rsidTr="001E1F14">
        <w:trPr>
          <w:trHeight w:hRule="exact" w:val="85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занятий в неделю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занятий по времени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занятий в 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занятий в учебный год, по времени</w:t>
            </w:r>
          </w:p>
        </w:tc>
      </w:tr>
      <w:tr w:rsidR="008D0DB2" w:rsidRPr="008D0DB2" w:rsidTr="001E1F14">
        <w:trPr>
          <w:trHeight w:hRule="exact" w:val="57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занятие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занятие = 10 мин.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занятий в уч. год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минут</w:t>
            </w:r>
          </w:p>
        </w:tc>
      </w:tr>
    </w:tbl>
    <w:p w:rsidR="008D0DB2" w:rsidRPr="008D0DB2" w:rsidRDefault="008D0DB2" w:rsidP="00CA31E4">
      <w:pPr>
        <w:widowControl w:val="0"/>
        <w:spacing w:after="239" w:line="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Pr="008D0DB2" w:rsidRDefault="008D0DB2" w:rsidP="00CA31E4">
      <w:pPr>
        <w:widowControl w:val="0"/>
        <w:spacing w:after="280" w:line="233" w:lineRule="auto"/>
        <w:ind w:firstLine="10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Образовательная область «Познавательное развитие» </w:t>
      </w:r>
    </w:p>
    <w:p w:rsidR="008D0DB2" w:rsidRPr="008D0DB2" w:rsidRDefault="008D0DB2" w:rsidP="00CA31E4">
      <w:pPr>
        <w:widowControl w:val="0"/>
        <w:spacing w:after="28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Включает в себя образовательные модули «Математическое (сенсорное развитие)» с элементами конструирования, «Исследование объектов живой и неживой природы, экспериментирование», «Познание предметного и социального мира».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Познавательное развитие предполагает: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интересов детей, любознательности и познавательной мотивации; формирование познавательных действий, становление сознания;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воображения и творческой активности;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 методы: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рассказ, беседа, описание, указание и объяснение, вопросы детям, ответы детей. Пояснения, указания, разъяснения используются при демонстрации способа действия и в ходе выполнения самостоятельных работ.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Наглядные методы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рассматривание игрушек и картин. Наглядные приемы: показ иллюстрированного материала, показ реальных предметов, картин.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 методы: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дидактические игры, и, дидактические упражнения. Игровые приемы: сюрпризные моменты, персонажи, имитация, дидактические игры и упражнения, подвижные игры</w:t>
      </w:r>
    </w:p>
    <w:p w:rsid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знает свое имя, называет предметы ближайшего окружения, имена членов семьи и воспитателей.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перенос действий с объекта на объект, использует предметы заместители.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Узнает и называет игрушки, некоторых домашних и диких животных,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некоторые овощи и фрукты.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элементарные представления о сезонных явлениях, смене дня и ночи.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Узнает шар и куб, называет размер большой и маленький.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Группирует однородные предметы, выделяет один и много.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Умеет по словесному указанию взрослого находить предметы по назначению, цвету, размеру.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Проявляет интерес к книгам, к рассматриванию иллюстраций.</w:t>
      </w:r>
    </w:p>
    <w:p w:rsidR="00CA31E4" w:rsidRPr="008D0DB2" w:rsidRDefault="00CA31E4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DB2" w:rsidRPr="008D0DB2" w:rsidRDefault="008D0DB2" w:rsidP="00CA31E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2"/>
      <w:bookmarkStart w:id="1" w:name="bookmark13"/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«Математическое (сенсорное развитие)» с элементами конструирования.</w:t>
      </w:r>
      <w:bookmarkEnd w:id="0"/>
      <w:bookmarkEnd w:id="1"/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данного раздела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оддерживать интерес и активные действия детей с предметами,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ометрическими телами и фигурами; ф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образца, подбирая пары, группы; с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</w:t>
      </w:r>
      <w:r w:rsidRPr="008D0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: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 -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вопросы, указания, объяснения, беседы.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использование эталонов форм (шар, круг, куб).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Игровые -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сравнение один - много, различение трёх предметов по величине, дидактические игры, сенсорные кубики, вкладыши и прочее.</w:t>
      </w:r>
    </w:p>
    <w:p w:rsidR="008D0DB2" w:rsidRPr="008D0DB2" w:rsidRDefault="008D0DB2" w:rsidP="00CA31E4">
      <w:pPr>
        <w:widowControl w:val="0"/>
        <w:spacing w:after="22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реализации: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совместная, самостоятельная деятельность в режиме дня.</w:t>
      </w:r>
    </w:p>
    <w:p w:rsidR="008D0DB2" w:rsidRPr="008D0DB2" w:rsidRDefault="008D0DB2" w:rsidP="00CA31E4">
      <w:pPr>
        <w:widowControl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ОД математическому развитию в первой младшей группе: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976"/>
        <w:gridCol w:w="2338"/>
        <w:gridCol w:w="2347"/>
      </w:tblGrid>
      <w:tr w:rsidR="008D0DB2" w:rsidRPr="008D0DB2" w:rsidTr="001E1F14">
        <w:trPr>
          <w:trHeight w:hRule="exact" w:val="8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неделю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ОД по времени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месяц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учебный год, по времени</w:t>
            </w:r>
          </w:p>
        </w:tc>
      </w:tr>
      <w:tr w:rsidR="008D0DB2" w:rsidRPr="008D0DB2" w:rsidTr="001E1F14"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ОД = 60 мин.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32 ОД в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уч.год</w:t>
            </w:r>
            <w:proofErr w:type="spellEnd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320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</w:tc>
      </w:tr>
    </w:tbl>
    <w:p w:rsidR="008D0DB2" w:rsidRDefault="008D0DB2" w:rsidP="00CA31E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Pr="008D0DB2" w:rsidRDefault="008D0DB2" w:rsidP="00CA31E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«Исследование объектов живой и не живой природы, экспериментирование».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ознакомления с природой малыши </w:t>
      </w:r>
      <w:r w:rsidR="00CA31E4"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узнают: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и явления неживой природы, которые доступны ребенку для непосредственного восприятия;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животных и растения, которые можно встретить в ближайшем природном окружении, а также в детских книжках на иллюстрациях;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представления о конкретном животном, растении, отдельных его частях, их характерных признаках, особенностях образа жизни;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отдельных признаков конкретных животных и растений как живых организмов;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первичных представлений о себе через взаимодействие с природой.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Совместные наблюдения с взрослыми (выявление сенсорных признаков объектов природы- цвет, величина, форма). Игры- экспериментирования с песком, водой, глиной, камешками и т. д. Наблюдения за трудом взрослого в природе и посильное участие детей Использование иллюстративно- наглядного материала, дидактических игр с игрушками, изображающими животных, картинками, природным материалом. Образные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игры- имитации (игровые ситуации с использованием игрушек, персонажей кукольного и пальчикового театров).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Продуктивная деятельность. Чтение природоведческой художественной литературы.</w:t>
      </w:r>
    </w:p>
    <w:p w:rsidR="008D0DB2" w:rsidRPr="008D0DB2" w:rsidRDefault="008D0DB2" w:rsidP="00CA31E4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Формы реализации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образовательная деятельность, совместная, самостоятельная деятельность в режиме дня.</w:t>
      </w:r>
    </w:p>
    <w:p w:rsidR="008D0DB2" w:rsidRPr="008D0DB2" w:rsidRDefault="008D0DB2" w:rsidP="00CA31E4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ОД в первой младшей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918"/>
        <w:gridCol w:w="2218"/>
        <w:gridCol w:w="2222"/>
      </w:tblGrid>
      <w:tr w:rsidR="008D0DB2" w:rsidRPr="008D0DB2" w:rsidTr="001E1F14">
        <w:trPr>
          <w:trHeight w:hRule="exact" w:val="8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неделю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ОД по времени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месяц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учебный год, по времени</w:t>
            </w:r>
          </w:p>
        </w:tc>
      </w:tr>
      <w:tr w:rsidR="008D0DB2" w:rsidRPr="008D0DB2" w:rsidTr="001E1F14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 = 10 мин.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ОД в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уч.год</w:t>
            </w:r>
            <w:proofErr w:type="spellEnd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90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0DB2" w:rsidRPr="008D0DB2" w:rsidRDefault="008D0DB2" w:rsidP="00CA31E4">
      <w:pPr>
        <w:widowControl w:val="0"/>
        <w:spacing w:after="239" w:line="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Pr="008D0DB2" w:rsidRDefault="008D0DB2" w:rsidP="00CA31E4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«Познание предметного и социального мира»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установлению добрых отношений между детьми, помогать налаживать контакты друг с другом.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доброжелательные отношения детей к близким людям, любовь к родителям, привязанность и доверие к воспитателям.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Пробуждать эмоциональную отзывчивость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Развивать умение </w:t>
      </w:r>
      <w:proofErr w:type="spell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передовать</w:t>
      </w:r>
      <w:proofErr w:type="spell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эмоциональное состояние, сопереживать настроению сверстников.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Приучать детей к выполнению элементарных правил культуры поведения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детей о людях, об особенностях их внешнего вида, эмоциональных состояниях, о поступках, о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детей о детском саде и его ближайшем окружении.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методы (чтение стихов, </w:t>
      </w:r>
      <w:proofErr w:type="spell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потешек</w:t>
      </w:r>
      <w:proofErr w:type="spell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сказок). Словесные приемы (речевой образец, повторное проговаривание, объяснение, указания, оценка детской речи, вопрос).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методы (непосредственное наблюдение) опосредованное наблюдение (изобразительная наглядность: рассматривание игрушек и сюжетных картинок, иллюстраций в целях обогащения социальных представлений о людях). Наглядные приемы (показ иллюстрированного материала).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 методы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(дидактические игры,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образные игры - имитации, театрализованные игры, хороводные игры). Игровые приемы (сюжетные игры)</w:t>
      </w:r>
    </w:p>
    <w:p w:rsidR="008D0DB2" w:rsidRPr="008D0DB2" w:rsidRDefault="008D0DB2" w:rsidP="00CA31E4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реализации: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все виды деятельности в режиме дня.</w:t>
      </w:r>
    </w:p>
    <w:p w:rsidR="008D0DB2" w:rsidRPr="008D0DB2" w:rsidRDefault="008D0DB2" w:rsidP="00CA31E4">
      <w:pPr>
        <w:widowControl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ОД в первой младшей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832"/>
        <w:gridCol w:w="2030"/>
        <w:gridCol w:w="2698"/>
      </w:tblGrid>
      <w:tr w:rsidR="008D0DB2" w:rsidRPr="008D0DB2" w:rsidTr="001E1F14">
        <w:trPr>
          <w:trHeight w:hRule="exact" w:val="84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неделю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ОД по времени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месяц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учебный год, по времени</w:t>
            </w:r>
          </w:p>
        </w:tc>
      </w:tr>
      <w:tr w:rsidR="008D0DB2" w:rsidRPr="008D0DB2" w:rsidTr="001E1F14">
        <w:trPr>
          <w:trHeight w:hRule="exact" w:val="57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 в 2 недели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ОД = 20 мин.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 ОД в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уч.год</w:t>
            </w:r>
            <w:proofErr w:type="spellEnd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160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</w:tc>
      </w:tr>
    </w:tbl>
    <w:p w:rsidR="008D0DB2" w:rsidRPr="008D0DB2" w:rsidRDefault="008D0DB2" w:rsidP="00CA31E4">
      <w:pPr>
        <w:widowControl w:val="0"/>
        <w:spacing w:after="239" w:line="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Pr="008D0DB2" w:rsidRDefault="008D0DB2" w:rsidP="00CA31E4">
      <w:pPr>
        <w:keepNext/>
        <w:keepLines/>
        <w:widowControl w:val="0"/>
        <w:spacing w:after="0" w:line="209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2"/>
      <w:bookmarkStart w:id="3" w:name="bookmark23"/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Образовательная область «Речевое развитие»</w:t>
      </w:r>
      <w:bookmarkEnd w:id="2"/>
      <w:bookmarkEnd w:id="3"/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«Речевое развитие», «Чтение художественной литературы»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Речевое развитие включает</w:t>
      </w:r>
      <w:r w:rsidRPr="008D0DB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Методы: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(чтение и рассказывание художественных произведений, заучивание наизусть, рассказывание с опорой на наглядный материал). Словесные приемы (речевой образец, повторное проговаривание, объяснение, указания, оценка).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(непосредственное наблюдение и его разновидности (наблюдение в природе, экскурсии), опосредованное наблюдение (рассматривание картин, рассказывание по картинам). Наглядные приемы (показ иллюстрированного материала).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(дидактические игры, игры драматизации, инсценировки, дидактические упражнения). Игровые приемы (игровое сюжетно-событийное развертывание, драматизация с акцентом на эмоциональное переживание, имитационно-моделирующие игры, дидактические игры)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Планируемые результаты: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сопровождает речью игровые и бытовые действия. По просьбе взрослого проговаривает слова, небольшие фразы. Отвечает на простейшие вопросы (</w:t>
      </w:r>
      <w:proofErr w:type="gram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Кто?,</w:t>
      </w:r>
      <w:proofErr w:type="gram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Что?, Что делает?). Может рассказать об изображенном на картинке, об игрушке, о событии из личного опыта.</w:t>
      </w:r>
      <w:bookmarkStart w:id="4" w:name="bookmark24"/>
      <w:bookmarkStart w:id="5" w:name="bookmark25"/>
    </w:p>
    <w:p w:rsidR="008D0DB2" w:rsidRPr="008D0DB2" w:rsidRDefault="008D0DB2" w:rsidP="00CA31E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«Речевое развитие»</w:t>
      </w:r>
      <w:bookmarkEnd w:id="4"/>
      <w:bookmarkEnd w:id="5"/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данном разделе основное внимание направлено на решение задач: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у детей интерес к общению со взрослыми и сверстниками.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желание детей активно включаться в речевое взаимодействие, направленное на речевые умения понимать обращённую речь с опорой и без опоры на наглядность.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Обогащать и активизировать словарь детей за счет слов - названий предметов, объектов, их действий с ними, некоторых ярко выраженных частей, свойств предметов (цвет, форма, размер, характер поверхности).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описательные рассказы, беседа и совместная деятельность, развивающие практические и игровые ситуации, сюжетно-ролевые, дидактические игры.</w:t>
      </w:r>
    </w:p>
    <w:p w:rsidR="008D0DB2" w:rsidRPr="008D0DB2" w:rsidRDefault="008D0DB2" w:rsidP="00CA31E4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Формы реализации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образовательная деятельность, совместная, самостоятельная деятельность в режиме дня.</w:t>
      </w:r>
    </w:p>
    <w:p w:rsidR="008D0DB2" w:rsidRDefault="008D0DB2" w:rsidP="00CA31E4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Продолжительность ОД </w:t>
      </w: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развитию речи в первой младшей группе</w:t>
      </w:r>
    </w:p>
    <w:p w:rsidR="008D0DB2" w:rsidRDefault="008D0DB2" w:rsidP="00CA31E4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D0DB2" w:rsidTr="008D0DB2"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неделю</w:t>
            </w:r>
          </w:p>
        </w:tc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ОД по времени</w:t>
            </w:r>
          </w:p>
        </w:tc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месяц</w:t>
            </w:r>
          </w:p>
        </w:tc>
        <w:tc>
          <w:tcPr>
            <w:tcW w:w="2337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 учебный год, по времени</w:t>
            </w:r>
          </w:p>
        </w:tc>
      </w:tr>
      <w:tr w:rsidR="008D0DB2" w:rsidTr="008D0DB2"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</w:t>
            </w:r>
          </w:p>
        </w:tc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минут – что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336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ОД = 40мин</w:t>
            </w:r>
          </w:p>
        </w:tc>
        <w:tc>
          <w:tcPr>
            <w:tcW w:w="2337" w:type="dxa"/>
          </w:tcPr>
          <w:p w:rsidR="008D0DB2" w:rsidRDefault="008D0DB2" w:rsidP="00CA31E4">
            <w:pPr>
              <w:widowControl w:val="0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 в год, 360 минут</w:t>
            </w:r>
          </w:p>
        </w:tc>
      </w:tr>
    </w:tbl>
    <w:p w:rsidR="008D0DB2" w:rsidRPr="008D0DB2" w:rsidRDefault="008D0DB2" w:rsidP="00CA31E4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Pr="008D0DB2" w:rsidRDefault="008D0DB2" w:rsidP="00CA31E4">
      <w:pPr>
        <w:widowControl w:val="0"/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Чтение художественной литературы»</w:t>
      </w:r>
    </w:p>
    <w:p w:rsidR="008D0DB2" w:rsidRPr="008D0DB2" w:rsidRDefault="008D0DB2" w:rsidP="00CA31E4">
      <w:pPr>
        <w:keepNext/>
        <w:keepLines/>
        <w:widowControl w:val="0"/>
        <w:spacing w:after="0" w:line="209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30"/>
      <w:bookmarkStart w:id="7" w:name="bookmark31"/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Образовательная область «Художественно эстетическое развитие»</w:t>
      </w:r>
      <w:bookmarkEnd w:id="6"/>
      <w:bookmarkEnd w:id="7"/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направления реализации образовательной области «Художественно - эстетическое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художественное восприятие произведений искусства, изобразительная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музыкальное развитие;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эстетическое восприятие мира природы, эстетическое восприятие социального мира.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данного раздела является:</w:t>
      </w:r>
    </w:p>
    <w:p w:rsidR="008D0DB2" w:rsidRPr="008D0DB2" w:rsidRDefault="008D0DB2" w:rsidP="00CA31E4">
      <w:pPr>
        <w:widowControl w:val="0"/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Активизировать освоение изобразительных материалов, инструментов (их возможностей и правил использования</w:t>
      </w:r>
      <w:bookmarkStart w:id="8" w:name="_GoBack"/>
      <w:bookmarkEnd w:id="8"/>
      <w:r w:rsidR="00CA31E4"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поддерживать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Наглядные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 способов лепки, рисования, аппликации и конструирования. Рассматривание детских книг, народных игрушек. Словесные - вопросы, указания, объяснения, беседы. Игровая деятельность - дидактические игры, игры с красками, игры с шумовыми игрушками и прочее. Практическая деятельность - освоение некоторых инструментов и действий с ними.</w:t>
      </w:r>
    </w:p>
    <w:p w:rsidR="008D0DB2" w:rsidRPr="008D0DB2" w:rsidRDefault="008D0DB2" w:rsidP="00CA31E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32"/>
      <w:bookmarkStart w:id="10" w:name="bookmark33"/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Планируемый результат:</w:t>
      </w:r>
      <w:bookmarkEnd w:id="9"/>
      <w:bookmarkEnd w:id="10"/>
      <w:r w:rsidR="00CA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различает основные формы конструктора, со взрослым сооружает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постройки.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Знает назначение карандашей, фломастеров, красок, кисти, клея, пластилина.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Создает простые предметы из разных материалов, обыгрывает совместно со взрослым.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Узнает знакомые мелодии, вместе с взрослыми подпевает в песне музыкальные фразы.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Проявляет активность при подпевании, выполнении танцевальных движений. Умеет выполнять движения: притопывать ногой, хлопать в ладоши, поворачивать кисти рук.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Умеет извлекать звуки из музыкальных инструментов: погремушки, бубен.</w:t>
      </w:r>
    </w:p>
    <w:p w:rsidR="00CA31E4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«Изобразительная деятельность»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реализуется по разделам «Рисование», «Лепка. Аппликация»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8D0DB2" w:rsidRPr="008D0DB2" w:rsidRDefault="008D0DB2" w:rsidP="00CA31E4">
      <w:pPr>
        <w:widowControl w:val="0"/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Развивать у детей желание участвовать в образовательных ситуациях и играх эстетической направленности, рисовать, лепить совместно со взрослым и самостоятельно. Формировать сенсорный опыт и развивать положительный эмоциональный отклик детей на отдельные эстетические свойства и качества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предметов, на эстетическую сторону явлений природы и некоторых социальных явлений. В процессе ознакомления с отдельными произведениями прикладного </w:t>
      </w:r>
      <w:proofErr w:type="gram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искусства(</w:t>
      </w:r>
      <w:proofErr w:type="gram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 Развивать умение создавать простые изображения, принимать замысел, предложенный взрослым. Обеспечить освоение способов создания изображения, передачи формы, построение элементарной композиции. Побуждать к самостоятельному выбору способов изображения на основе освоенных технических приемов. Создавать условия для освоения детьми свойств и возможностей изобразительных материалов и инструментов (гуаши, цветных карандашей, пластилина, глины, теста), развивать мелкую моторику и умение использовать инструменты</w:t>
      </w:r>
      <w:r w:rsidR="00CA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опыт совместной со взрослым деятельности (сотворчества), участия в выполнении коллективных композиций.</w:t>
      </w:r>
    </w:p>
    <w:p w:rsidR="008D0DB2" w:rsidRPr="008D0DB2" w:rsidRDefault="008D0DB2" w:rsidP="00CA31E4">
      <w:pPr>
        <w:widowControl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1E4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Методы: </w:t>
      </w: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Словесные методы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(чтение и рассказывание художественных произведений, обобщающая беседа в начале НОД, использование художественной литературы, короткие стихотворения, отрывки их художественных произведений, загадки, </w:t>
      </w:r>
      <w:proofErr w:type="spell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потешки</w:t>
      </w:r>
      <w:proofErr w:type="spell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сказки) Словесные приемы (указания и прояснения воспитателя в процессе НОД, помощь, объяснение, вопрос) </w:t>
      </w:r>
      <w:proofErr w:type="gramStart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младшей группе словесные указания применяются редко. Наглядные методы (использование натуры, репродукции картин, образца и других наглядных пособий, рассматривание отдельных предметов, использование образца, наблюдение). 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Наглядные приемы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(показ иллюстрированного материала, наглядно-действенный прием: показ жестом и показ приемов изображения; делать изображение с ребенком, ведя его руку.</w:t>
      </w:r>
    </w:p>
    <w:p w:rsidR="00CA31E4" w:rsidRDefault="008D0DB2" w:rsidP="00CA31E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Практические методы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(упражнения, способствующие развитию умений связывать элементы рисунка (мазки, линии, штрихи) с предметами окружения (штрихи — как капельки дождя, точки — зернышки, зигзаги — как горки); применение нетрадиционных техник и материалов. Игровые приемы (использование приемов сотворчества (дети выполняют рисунок на подготовленном воспитателем силуэте, дорисовывают элементы ) Упражнения и игры, способствующие развитию мелкой моторики (пальчиковые игры), а также игровые упражнения на развитие умений создавать простые формы; игры и упражнения, способствующие формированию сенсорного опыта детей: тактильное и зрительное обследование предметов и игрушек, называние эталонов цвета, формы, показ обследовательских действий для создания образа; использование настольно-печатных игр и организация упражнений («Подбери по цвету», «Подбери по форме (размеру)», «Найди пару», «Все круглое (квадратное, треугольное)»),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игр с цветными пирамидками, разноцветными шарами, составление простых композиций с помощью рамок-вкладышей, геометрических мозаик.</w:t>
      </w:r>
    </w:p>
    <w:p w:rsidR="008D0DB2" w:rsidRPr="008D0DB2" w:rsidRDefault="008D0DB2" w:rsidP="00CA31E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реализации: </w:t>
      </w:r>
      <w:r w:rsidRPr="008D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интеграция во все виды деятельности в режиме дня.</w:t>
      </w:r>
    </w:p>
    <w:p w:rsidR="008D0DB2" w:rsidRPr="008D0DB2" w:rsidRDefault="008D0DB2" w:rsidP="00CA3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Продолжительность занятий по художественно эстетическому развитию в первой младшей группе: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2976"/>
        <w:gridCol w:w="2338"/>
        <w:gridCol w:w="2347"/>
      </w:tblGrid>
      <w:tr w:rsidR="008D0DB2" w:rsidRPr="008D0DB2" w:rsidTr="001E1F14"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неделю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ОД по времени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месяц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ОД в учебный год, по времени</w:t>
            </w:r>
          </w:p>
        </w:tc>
      </w:tr>
      <w:tr w:rsidR="008D0DB2" w:rsidRPr="008D0DB2" w:rsidTr="001E1F14">
        <w:trPr>
          <w:trHeight w:hRule="exact" w:val="5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Рисование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ОД = 40 мин.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36 ОД в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уч.год</w:t>
            </w:r>
            <w:proofErr w:type="spellEnd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360 минут</w:t>
            </w:r>
          </w:p>
        </w:tc>
      </w:tr>
      <w:tr w:rsidR="008D0DB2" w:rsidRPr="008D0DB2" w:rsidTr="001E1F14">
        <w:trPr>
          <w:trHeight w:hRule="exact"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Лепка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 в 2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ОД= 20 мин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ОД в уч. Год 180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</w:tc>
      </w:tr>
      <w:tr w:rsidR="008D0DB2" w:rsidRPr="008D0DB2" w:rsidTr="001E1F14">
        <w:trPr>
          <w:trHeight w:hRule="exact" w:val="57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Аппликация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ОД в 2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10минут -что соответствует </w:t>
            </w:r>
            <w:proofErr w:type="spellStart"/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ОД= 20 мин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ОД в уч. Год 180</w:t>
            </w:r>
          </w:p>
          <w:p w:rsidR="008D0DB2" w:rsidRPr="008D0DB2" w:rsidRDefault="008D0DB2" w:rsidP="00CA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</w:tc>
      </w:tr>
    </w:tbl>
    <w:p w:rsidR="008D0DB2" w:rsidRPr="008D0DB2" w:rsidRDefault="008D0DB2" w:rsidP="00CA31E4">
      <w:pPr>
        <w:widowControl w:val="0"/>
        <w:spacing w:after="239" w:line="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0DB2" w:rsidRDefault="008D0DB2" w:rsidP="00CA31E4">
      <w:pPr>
        <w:jc w:val="both"/>
      </w:pPr>
    </w:p>
    <w:p w:rsidR="008D0DB2" w:rsidRDefault="008D0DB2" w:rsidP="00CA31E4">
      <w:pPr>
        <w:jc w:val="both"/>
      </w:pPr>
    </w:p>
    <w:sectPr w:rsidR="008D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F"/>
    <w:multiLevelType w:val="multilevel"/>
    <w:tmpl w:val="9A9A8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25951"/>
    <w:multiLevelType w:val="multilevel"/>
    <w:tmpl w:val="86A25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507B8"/>
    <w:multiLevelType w:val="multilevel"/>
    <w:tmpl w:val="98765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F1A9D"/>
    <w:multiLevelType w:val="multilevel"/>
    <w:tmpl w:val="762A8F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E261A6"/>
    <w:multiLevelType w:val="multilevel"/>
    <w:tmpl w:val="DFC2C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2"/>
    <w:rsid w:val="007879F2"/>
    <w:rsid w:val="008D0DB2"/>
    <w:rsid w:val="00C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183C-FD42-4A4A-AB0E-0F6E2D1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0D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D0D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8D0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8D0D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D0DB2"/>
    <w:pPr>
      <w:widowControl w:val="0"/>
      <w:shd w:val="clear" w:color="auto" w:fill="FFFFFF"/>
      <w:spacing w:after="0" w:line="223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D0DB2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8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2019-11-22T12:47:00Z</dcterms:created>
  <dcterms:modified xsi:type="dcterms:W3CDTF">2019-11-22T13:09:00Z</dcterms:modified>
</cp:coreProperties>
</file>